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CB61" w14:textId="77777777" w:rsidR="00E208FA" w:rsidRDefault="00DB04E8">
      <w:pPr>
        <w:spacing w:before="120" w:after="120"/>
        <w:jc w:val="center"/>
      </w:pPr>
      <w:r>
        <w:rPr>
          <w:noProof/>
        </w:rPr>
        <w:drawing>
          <wp:inline distT="0" distB="0" distL="0" distR="0" wp14:anchorId="00D14D02" wp14:editId="78840530">
            <wp:extent cx="1916230" cy="1236336"/>
            <wp:effectExtent l="0" t="0" r="0" b="0"/>
            <wp:docPr id="731138328" name="Drawing 0" descr="250a07a7de66b7702a363506241b58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50a07a7de66b7702a363506241b58d0.png"/>
                    <pic:cNvPicPr>
                      <a:picLocks noChangeAspect="1"/>
                    </pic:cNvPicPr>
                  </pic:nvPicPr>
                  <pic:blipFill>
                    <a:blip r:embed="rId4"/>
                    <a:stretch>
                      <a:fillRect/>
                    </a:stretch>
                  </pic:blipFill>
                  <pic:spPr>
                    <a:xfrm>
                      <a:off x="0" y="0"/>
                      <a:ext cx="1916230" cy="1236336"/>
                    </a:xfrm>
                    <a:prstGeom prst="rect">
                      <a:avLst/>
                    </a:prstGeom>
                  </pic:spPr>
                </pic:pic>
              </a:graphicData>
            </a:graphic>
          </wp:inline>
        </w:drawing>
      </w:r>
    </w:p>
    <w:p w14:paraId="2D76FEF0" w14:textId="6E442EAF" w:rsidR="00E208FA" w:rsidRDefault="00DB04E8">
      <w:pPr>
        <w:spacing w:before="120" w:after="120" w:line="360" w:lineRule="auto"/>
      </w:pPr>
      <w:r>
        <w:rPr>
          <w:rFonts w:ascii="Arial MT Pro Bold" w:eastAsia="Arial MT Pro Bold" w:hAnsi="Arial MT Pro Bold" w:cs="Arial MT Pro Bold"/>
          <w:b/>
          <w:bCs/>
          <w:color w:val="51626F"/>
          <w:sz w:val="36"/>
          <w:szCs w:val="36"/>
        </w:rPr>
        <w:t>Regulator of Social Housing Key Measures 2024</w:t>
      </w:r>
      <w:r>
        <w:rPr>
          <w:rFonts w:ascii="Arial MT Pro Bold" w:eastAsia="Arial MT Pro Bold" w:hAnsi="Arial MT Pro Bold" w:cs="Arial MT Pro Bold"/>
          <w:b/>
          <w:bCs/>
          <w:color w:val="51626F"/>
          <w:sz w:val="36"/>
          <w:szCs w:val="36"/>
        </w:rPr>
        <w:t>/2025</w:t>
      </w:r>
      <w:r>
        <w:rPr>
          <w:rFonts w:ascii="Arial MT Pro Bold" w:eastAsia="Arial MT Pro Bold" w:hAnsi="Arial MT Pro Bold" w:cs="Arial MT Pro Bold"/>
          <w:b/>
          <w:bCs/>
          <w:color w:val="51626F"/>
          <w:sz w:val="36"/>
          <w:szCs w:val="36"/>
        </w:rPr>
        <w:t xml:space="preserve"> </w:t>
      </w:r>
    </w:p>
    <w:p w14:paraId="491F0797" w14:textId="77777777" w:rsidR="00E208FA" w:rsidRDefault="00DB04E8">
      <w:pPr>
        <w:spacing w:before="120" w:after="120" w:line="372" w:lineRule="auto"/>
      </w:pPr>
      <w:r>
        <w:rPr>
          <w:rFonts w:ascii="Arial MT Pro" w:eastAsia="Arial MT Pro" w:hAnsi="Arial MT Pro" w:cs="Arial MT Pro"/>
          <w:color w:val="212529"/>
          <w:sz w:val="22"/>
          <w:szCs w:val="22"/>
        </w:rPr>
        <w:t>As a housing provider, we are subject to regulation put in place by our regulator, The Regulator of Social Housing (RSH). They have identified key measures to see how well we are performing.  The totals are worked out by adding the costs together and dividing them by the number of properties we have.</w:t>
      </w:r>
      <w:r>
        <w:rPr>
          <w:rFonts w:ascii="Arial MT Pro Bold" w:eastAsia="Arial MT Pro Bold" w:hAnsi="Arial MT Pro Bold" w:cs="Arial MT Pro Bold"/>
          <w:b/>
          <w:bCs/>
          <w:color w:val="51626F"/>
          <w:sz w:val="22"/>
          <w:szCs w:val="22"/>
        </w:rPr>
        <w:t xml:space="preserve"> </w:t>
      </w:r>
    </w:p>
    <w:p w14:paraId="467313DB" w14:textId="77777777" w:rsidR="00E208FA" w:rsidRDefault="00DB04E8">
      <w:pPr>
        <w:spacing w:before="120" w:after="120" w:line="360" w:lineRule="auto"/>
      </w:pPr>
      <w:r>
        <w:rPr>
          <w:rFonts w:ascii="Arial MT Pro Bold" w:eastAsia="Arial MT Pro Bold" w:hAnsi="Arial MT Pro Bold" w:cs="Arial MT Pro Bold"/>
          <w:b/>
          <w:bCs/>
          <w:color w:val="51626F"/>
          <w:sz w:val="28"/>
          <w:szCs w:val="28"/>
        </w:rPr>
        <w:t xml:space="preserve">How we spend your rent money </w:t>
      </w:r>
    </w:p>
    <w:p w14:paraId="47CD96E5" w14:textId="77777777" w:rsidR="00E208FA" w:rsidRDefault="00DB04E8">
      <w:pPr>
        <w:spacing w:before="120" w:after="120" w:line="360" w:lineRule="auto"/>
      </w:pPr>
      <w:r>
        <w:rPr>
          <w:rFonts w:ascii="Arial MT Pro" w:eastAsia="Arial MT Pro" w:hAnsi="Arial MT Pro" w:cs="Arial MT Pro"/>
          <w:color w:val="000000"/>
          <w:sz w:val="22"/>
          <w:szCs w:val="22"/>
        </w:rPr>
        <w:t xml:space="preserve">As a not-for-profit social landlord, income collected from rents is invested into homes and services we provide. </w:t>
      </w:r>
    </w:p>
    <w:p w14:paraId="35229CF8" w14:textId="77777777" w:rsidR="00E208FA" w:rsidRDefault="00DB04E8">
      <w:pPr>
        <w:spacing w:before="120" w:after="120" w:line="360" w:lineRule="auto"/>
      </w:pPr>
      <w:r>
        <w:rPr>
          <w:rFonts w:ascii="Arial MT Pro" w:eastAsia="Arial MT Pro" w:hAnsi="Arial MT Pro" w:cs="Arial MT Pro"/>
          <w:color w:val="000000"/>
          <w:sz w:val="22"/>
          <w:szCs w:val="22"/>
        </w:rPr>
        <w:t xml:space="preserve">The chart below shows a breakdown of how we have spent every £1 over the year: </w:t>
      </w:r>
    </w:p>
    <w:p w14:paraId="0BEC9E67" w14:textId="0B505104" w:rsidR="00E208FA" w:rsidRDefault="00DB04E8">
      <w:pPr>
        <w:spacing w:before="120" w:after="120"/>
        <w:jc w:val="center"/>
      </w:pPr>
      <w:r w:rsidRPr="00AE4591">
        <w:rPr>
          <w:noProof/>
        </w:rPr>
        <mc:AlternateContent>
          <mc:Choice Requires="cx1">
            <w:drawing>
              <wp:inline distT="0" distB="0" distL="0" distR="0" wp14:anchorId="5CE0C036" wp14:editId="2CF342A4">
                <wp:extent cx="5728970" cy="2789555"/>
                <wp:effectExtent l="0" t="0" r="0" b="0"/>
                <wp:docPr id="188086263"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5"/>
                  </a:graphicData>
                </a:graphic>
              </wp:inline>
            </w:drawing>
          </mc:Choice>
          <mc:Fallback>
            <w:drawing>
              <wp:inline distT="0" distB="0" distL="0" distR="0" wp14:anchorId="5CE0C036" wp14:editId="2CF342A4">
                <wp:extent cx="5728970" cy="2789555"/>
                <wp:effectExtent l="0" t="0" r="0" b="0"/>
                <wp:docPr id="188086263"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8086263" name="Chart 1"/>
                        <pic:cNvPicPr>
                          <a:picLocks noGrp="1" noRot="1" noChangeAspect="1" noMove="1" noResize="1" noEditPoints="1" noAdjustHandles="1" noChangeArrowheads="1" noChangeShapeType="1"/>
                        </pic:cNvPicPr>
                      </pic:nvPicPr>
                      <pic:blipFill>
                        <a:blip r:embed="rId6"/>
                        <a:stretch>
                          <a:fillRect/>
                        </a:stretch>
                      </pic:blipFill>
                      <pic:spPr>
                        <a:xfrm>
                          <a:off x="0" y="0"/>
                          <a:ext cx="5728970" cy="2789555"/>
                        </a:xfrm>
                        <a:prstGeom prst="rect">
                          <a:avLst/>
                        </a:prstGeom>
                      </pic:spPr>
                    </pic:pic>
                  </a:graphicData>
                </a:graphic>
              </wp:inline>
            </w:drawing>
          </mc:Fallback>
        </mc:AlternateContent>
      </w:r>
    </w:p>
    <w:p w14:paraId="0F8593C3" w14:textId="77777777" w:rsidR="00E208FA" w:rsidRDefault="00DB04E8">
      <w:pPr>
        <w:spacing w:before="120" w:after="120" w:line="120" w:lineRule="auto"/>
      </w:pPr>
      <w:r>
        <w:rPr>
          <w:rFonts w:ascii="Arial MT Pro Bold" w:eastAsia="Arial MT Pro Bold" w:hAnsi="Arial MT Pro Bold" w:cs="Arial MT Pro Bold"/>
          <w:b/>
          <w:bCs/>
          <w:color w:val="51626F"/>
          <w:sz w:val="28"/>
          <w:szCs w:val="28"/>
        </w:rPr>
        <w:t xml:space="preserve"> </w:t>
      </w:r>
    </w:p>
    <w:p w14:paraId="1282581D" w14:textId="6D6A7AE0" w:rsidR="00E208FA" w:rsidRDefault="00DB04E8">
      <w:pPr>
        <w:spacing w:before="120" w:after="120" w:line="360" w:lineRule="auto"/>
      </w:pPr>
      <w:r>
        <w:rPr>
          <w:rFonts w:ascii="Arial MT Pro Bold" w:eastAsia="Arial MT Pro Bold" w:hAnsi="Arial MT Pro Bold" w:cs="Arial MT Pro Bold"/>
          <w:b/>
          <w:bCs/>
          <w:color w:val="51626F"/>
          <w:sz w:val="28"/>
          <w:szCs w:val="28"/>
        </w:rPr>
        <w:t>Directors’ remuneration and management costs for 2024</w:t>
      </w:r>
      <w:r>
        <w:rPr>
          <w:rFonts w:ascii="Arial MT Pro Bold" w:eastAsia="Arial MT Pro Bold" w:hAnsi="Arial MT Pro Bold" w:cs="Arial MT Pro Bold"/>
          <w:b/>
          <w:bCs/>
          <w:color w:val="51626F"/>
          <w:sz w:val="28"/>
          <w:szCs w:val="28"/>
        </w:rPr>
        <w:t>-25</w:t>
      </w:r>
      <w:r>
        <w:rPr>
          <w:rFonts w:ascii="Arial MT Pro Bold" w:eastAsia="Arial MT Pro Bold" w:hAnsi="Arial MT Pro Bold" w:cs="Arial MT Pro Bold"/>
          <w:b/>
          <w:bCs/>
          <w:color w:val="51626F"/>
          <w:sz w:val="28"/>
          <w:szCs w:val="28"/>
        </w:rPr>
        <w:t xml:space="preserve"> </w:t>
      </w:r>
    </w:p>
    <w:p w14:paraId="2D7B13D2" w14:textId="0A1F5CD2" w:rsidR="00E208FA" w:rsidRDefault="00DB04E8">
      <w:pPr>
        <w:spacing w:before="120" w:after="120" w:line="360" w:lineRule="auto"/>
      </w:pPr>
      <w:r>
        <w:rPr>
          <w:rFonts w:ascii="Arial MT Pro" w:eastAsia="Arial MT Pro" w:hAnsi="Arial MT Pro" w:cs="Arial MT Pro"/>
          <w:color w:val="000000"/>
          <w:sz w:val="22"/>
          <w:szCs w:val="22"/>
        </w:rPr>
        <w:t>The remuneration payable to the highest paid Director, relative to the size of the landlord - £35.18</w:t>
      </w:r>
      <w:r>
        <w:rPr>
          <w:rFonts w:ascii="Arial MT Pro" w:eastAsia="Arial MT Pro" w:hAnsi="Arial MT Pro" w:cs="Arial MT Pro"/>
          <w:color w:val="000000"/>
          <w:sz w:val="22"/>
          <w:szCs w:val="22"/>
        </w:rPr>
        <w:t xml:space="preserve"> </w:t>
      </w:r>
    </w:p>
    <w:p w14:paraId="65B43D79" w14:textId="5F3C141B" w:rsidR="00E208FA" w:rsidRDefault="00DB04E8">
      <w:pPr>
        <w:spacing w:before="120" w:after="120" w:line="360" w:lineRule="auto"/>
      </w:pPr>
      <w:r>
        <w:rPr>
          <w:rFonts w:ascii="Arial MT Pro" w:eastAsia="Arial MT Pro" w:hAnsi="Arial MT Pro" w:cs="Arial MT Pro"/>
          <w:color w:val="000000"/>
          <w:sz w:val="22"/>
          <w:szCs w:val="22"/>
        </w:rPr>
        <w:lastRenderedPageBreak/>
        <w:t>The aggregate amount of remuneration paid to Directors, relative to the size of the landlord - £166.10</w:t>
      </w:r>
      <w:r>
        <w:rPr>
          <w:rFonts w:ascii="Arial MT Pro" w:eastAsia="Arial MT Pro" w:hAnsi="Arial MT Pro" w:cs="Arial MT Pro"/>
          <w:color w:val="000000"/>
          <w:sz w:val="22"/>
          <w:szCs w:val="22"/>
        </w:rPr>
        <w:t xml:space="preserve"> </w:t>
      </w:r>
    </w:p>
    <w:p w14:paraId="4EA73129" w14:textId="45DE21C2" w:rsidR="00E208FA" w:rsidRDefault="00DB04E8">
      <w:pPr>
        <w:spacing w:before="120" w:after="120" w:line="360" w:lineRule="auto"/>
      </w:pPr>
      <w:r>
        <w:rPr>
          <w:rFonts w:ascii="Arial MT Pro" w:eastAsia="Arial MT Pro" w:hAnsi="Arial MT Pro" w:cs="Arial MT Pro"/>
          <w:color w:val="000000"/>
          <w:sz w:val="22"/>
          <w:szCs w:val="22"/>
        </w:rPr>
        <w:t xml:space="preserve"> Management costs relative to the size of the landlord - £1,773.88</w:t>
      </w:r>
      <w:r>
        <w:rPr>
          <w:rFonts w:ascii="Arial MT Pro" w:eastAsia="Arial MT Pro" w:hAnsi="Arial MT Pro" w:cs="Arial MT Pro"/>
          <w:color w:val="000000"/>
          <w:sz w:val="22"/>
          <w:szCs w:val="22"/>
        </w:rPr>
        <w:t xml:space="preserve"> </w:t>
      </w:r>
    </w:p>
    <w:p w14:paraId="7F15C270" w14:textId="3135350D" w:rsidR="00E208FA" w:rsidRDefault="00DB04E8">
      <w:pPr>
        <w:spacing w:before="120" w:after="120" w:line="360" w:lineRule="auto"/>
      </w:pPr>
      <w:r>
        <w:rPr>
          <w:rFonts w:ascii="Arial MT Pro Italics" w:eastAsia="Arial MT Pro Italics" w:hAnsi="Arial MT Pro Italics" w:cs="Arial MT Pro Italics"/>
          <w:i/>
          <w:iCs/>
          <w:color w:val="000000"/>
          <w:sz w:val="22"/>
          <w:szCs w:val="22"/>
        </w:rPr>
        <w:t>The figures are based on 3,936</w:t>
      </w:r>
      <w:r>
        <w:rPr>
          <w:rFonts w:ascii="Arial MT Pro Italics" w:eastAsia="Arial MT Pro Italics" w:hAnsi="Arial MT Pro Italics" w:cs="Arial MT Pro Italics"/>
          <w:i/>
          <w:iCs/>
          <w:color w:val="000000"/>
          <w:sz w:val="22"/>
          <w:szCs w:val="22"/>
        </w:rPr>
        <w:t xml:space="preserve"> properties which were owned or managed by Teign Housing on 31 March 2025</w:t>
      </w:r>
      <w:r>
        <w:rPr>
          <w:rFonts w:ascii="Arial MT Pro Italics" w:eastAsia="Arial MT Pro Italics" w:hAnsi="Arial MT Pro Italics" w:cs="Arial MT Pro Italics"/>
          <w:i/>
          <w:iCs/>
          <w:color w:val="000000"/>
          <w:sz w:val="22"/>
          <w:szCs w:val="22"/>
        </w:rPr>
        <w:t>.</w:t>
      </w:r>
      <w:r>
        <w:rPr>
          <w:rFonts w:ascii="Arial MT Pro" w:eastAsia="Arial MT Pro" w:hAnsi="Arial MT Pro" w:cs="Arial MT Pro"/>
          <w:color w:val="000000"/>
          <w:sz w:val="22"/>
          <w:szCs w:val="22"/>
        </w:rPr>
        <w:t xml:space="preserve"> </w:t>
      </w:r>
    </w:p>
    <w:sectPr w:rsidR="00E208FA">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D351F51-D7D7-4BD5-AA11-610753682712}"/>
  </w:font>
  <w:font w:name="Times New Roman">
    <w:panose1 w:val="02020603050405020304"/>
    <w:charset w:val="00"/>
    <w:family w:val="roman"/>
    <w:pitch w:val="variable"/>
    <w:sig w:usb0="E0002EFF" w:usb1="C000785B" w:usb2="00000009" w:usb3="00000000" w:csb0="000001FF" w:csb1="00000000"/>
  </w:font>
  <w:font w:name="Arial MT Pro Bold">
    <w:altName w:val="Arial"/>
    <w:charset w:val="00"/>
    <w:family w:val="auto"/>
    <w:pitch w:val="default"/>
  </w:font>
  <w:font w:name="Arial MT Pro">
    <w:altName w:val="Arial"/>
    <w:charset w:val="00"/>
    <w:family w:val="auto"/>
    <w:pitch w:val="default"/>
  </w:font>
  <w:font w:name="Arial MT Pro Italics">
    <w:altName w:val="Arial"/>
    <w:charset w:val="00"/>
    <w:family w:val="auto"/>
    <w:pitch w:val="default"/>
  </w:font>
  <w:font w:name="Aptos Display">
    <w:charset w:val="00"/>
    <w:family w:val="swiss"/>
    <w:pitch w:val="variable"/>
    <w:sig w:usb0="20000287" w:usb1="00000003" w:usb2="00000000" w:usb3="00000000" w:csb0="0000019F" w:csb1="00000000"/>
    <w:embedRegular r:id="rId2" w:fontKey="{ABCC4029-E921-4084-A263-6A7AFFFDC3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FA"/>
    <w:rsid w:val="005738DD"/>
    <w:rsid w:val="00DB04E8"/>
    <w:rsid w:val="00E20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9612"/>
  <w15:docId w15:val="{52D84FA0-0A58-4114-9A9C-F71CDD48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microsoft.com/office/2014/relationships/chartEx" Target="charts/chartEx1.xm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teignhousingcouk.sharepoint.com/sites/Finance/Finance/Rents/Rent%20Review%202025/Chart%20for%20letter%20-%20Where%20does%20&#163;1%20go%202024-25.xlsx"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Sheet1!$O$40:$O$43</cx:f>
        <cx:lvl ptCount="4">
          <cx:pt idx="0">Improvements &amp; major works to housing</cx:pt>
          <cx:pt idx="1">General repairs &amp; maintenance to housing</cx:pt>
          <cx:pt idx="2">Neighbourhood &amp; housing services</cx:pt>
          <cx:pt idx="3">Management &amp; overhead costs</cx:pt>
        </cx:lvl>
      </cx:strDim>
      <cx:numDim type="size">
        <cx:f>Sheet1!$P$40:$P$43</cx:f>
        <cx:lvl ptCount="4" formatCode="_-&quot;£&quot;* #,##0.00_-;\-&quot;£&quot;* #,##0.00_-;_-&quot;£&quot;* &quot;-&quot;??_-;_-@_-">
          <cx:pt idx="0">0.20087631628123595</cx:pt>
          <cx:pt idx="1">0.37305171583161806</cx:pt>
          <cx:pt idx="2">0.14124923659240826</cx:pt>
          <cx:pt idx="3">0.29208869233875689</cx:pt>
        </cx:lvl>
      </cx:numDim>
    </cx:data>
  </cx:chartData>
  <cx:chart>
    <cx:title pos="t" align="ctr" overlay="0">
      <cx:tx>
        <cx:txData>
          <cx:v>How £1 of income is spent</cx:v>
        </cx:txData>
      </cx:tx>
      <cx:txPr>
        <a:bodyPr spcFirstLastPara="1" vertOverflow="ellipsis" horzOverflow="overflow" wrap="square" lIns="0" tIns="0" rIns="0" bIns="0" anchor="ctr" anchorCtr="1"/>
        <a:lstStyle/>
        <a:p>
          <a:pPr algn="ctr" rtl="0">
            <a:defRPr sz="1600">
              <a:latin typeface="Arial" panose="020B0604020202020204" pitchFamily="34" charset="0"/>
              <a:ea typeface="Arial" panose="020B0604020202020204" pitchFamily="34" charset="0"/>
              <a:cs typeface="Arial" panose="020B0604020202020204" pitchFamily="34" charset="0"/>
            </a:defRPr>
          </a:pPr>
          <a:r>
            <a:rPr lang="en-US" sz="16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How £1 of income is spent</a:t>
          </a:r>
        </a:p>
      </cx:txPr>
    </cx:title>
    <cx:plotArea>
      <cx:plotAreaRegion>
        <cx:series layoutId="treemap" uniqueId="{CD602AB7-1715-4137-BBF2-5AA231916489}">
          <cx:dataLabels>
            <cx:txPr>
              <a:bodyPr spcFirstLastPara="1" vertOverflow="ellipsis" horzOverflow="overflow" wrap="square" lIns="0" tIns="0" rIns="0" bIns="0" anchor="ctr" anchorCtr="1"/>
              <a:lstStyle/>
              <a:p>
                <a:pPr algn="ctr" rtl="0">
                  <a:defRPr sz="3200"/>
                </a:pPr>
                <a:endParaRPr lang="en-US" sz="3200" b="0" i="0" u="none" strike="noStrike" baseline="0">
                  <a:solidFill>
                    <a:sysClr val="window" lastClr="FFFFFF"/>
                  </a:solidFill>
                  <a:latin typeface="Corbel" panose="020B0503020204020204"/>
                </a:endParaRPr>
              </a:p>
            </cx:txPr>
            <cx:visibility seriesName="0" categoryName="0" value="1"/>
            <cx:separator>, </cx:separator>
            <cx:dataLabel idx="0">
              <cx:txPr>
                <a:bodyPr spcFirstLastPara="1" vertOverflow="ellipsis" horzOverflow="overflow" wrap="square" lIns="0" tIns="0" rIns="0" bIns="0" anchor="ctr" anchorCtr="1"/>
                <a:lstStyle/>
                <a:p>
                  <a:pPr algn="ctr" rtl="0">
                    <a:defRPr sz="1400">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 lastClr="FFFFFF"/>
                      </a:solidFill>
                      <a:latin typeface="Arial" panose="020B0604020202020204" pitchFamily="34" charset="0"/>
                      <a:cs typeface="Arial" panose="020B0604020202020204" pitchFamily="34" charset="0"/>
                    </a:rPr>
                    <a:t> £0.20 </a:t>
                  </a:r>
                </a:p>
              </cx:txPr>
            </cx:dataLabel>
            <cx:dataLabel idx="1">
              <cx:txPr>
                <a:bodyPr spcFirstLastPara="1" vertOverflow="ellipsis" horzOverflow="overflow" wrap="square" lIns="0" tIns="0" rIns="0" bIns="0" anchor="ctr" anchorCtr="1"/>
                <a:lstStyle/>
                <a:p>
                  <a:pPr algn="ctr" rtl="0">
                    <a:defRPr sz="1400">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 lastClr="FFFFFF"/>
                      </a:solidFill>
                      <a:latin typeface="Arial" panose="020B0604020202020204" pitchFamily="34" charset="0"/>
                      <a:cs typeface="Arial" panose="020B0604020202020204" pitchFamily="34" charset="0"/>
                    </a:rPr>
                    <a:t> £0.37 </a:t>
                  </a:r>
                </a:p>
              </cx:txPr>
            </cx:dataLabel>
            <cx:dataLabel idx="2">
              <cx:txPr>
                <a:bodyPr spcFirstLastPara="1" vertOverflow="ellipsis" horzOverflow="overflow" wrap="square" lIns="0" tIns="0" rIns="0" bIns="0" anchor="ctr" anchorCtr="1"/>
                <a:lstStyle/>
                <a:p>
                  <a:pPr algn="ctr" rtl="0">
                    <a:defRPr sz="1400">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 lastClr="FFFFFF"/>
                      </a:solidFill>
                      <a:latin typeface="Arial" panose="020B0604020202020204" pitchFamily="34" charset="0"/>
                      <a:cs typeface="Arial" panose="020B0604020202020204" pitchFamily="34" charset="0"/>
                    </a:rPr>
                    <a:t> £0.14 </a:t>
                  </a:r>
                </a:p>
              </cx:txPr>
            </cx:dataLabel>
            <cx:dataLabel idx="3">
              <cx:txPr>
                <a:bodyPr spcFirstLastPara="1" vertOverflow="ellipsis" horzOverflow="overflow" wrap="square" lIns="0" tIns="0" rIns="0" bIns="0" anchor="ctr" anchorCtr="1"/>
                <a:lstStyle/>
                <a:p>
                  <a:pPr algn="ctr" rtl="0">
                    <a:defRPr sz="1400">
                      <a:latin typeface="Arial" panose="020B0604020202020204" pitchFamily="34" charset="0"/>
                      <a:ea typeface="Arial" panose="020B0604020202020204" pitchFamily="34" charset="0"/>
                      <a:cs typeface="Arial" panose="020B0604020202020204" pitchFamily="34" charset="0"/>
                    </a:defRPr>
                  </a:pPr>
                  <a:r>
                    <a:rPr lang="en-US" sz="1400" b="0" i="0" u="none" strike="noStrike" baseline="0">
                      <a:solidFill>
                        <a:sysClr val="window" lastClr="FFFFFF"/>
                      </a:solidFill>
                      <a:latin typeface="Arial" panose="020B0604020202020204" pitchFamily="34" charset="0"/>
                      <a:cs typeface="Arial" panose="020B0604020202020204" pitchFamily="34" charset="0"/>
                    </a:rPr>
                    <a:t> £0.29 </a:t>
                  </a:r>
                </a:p>
              </cx:txPr>
            </cx:dataLabel>
          </cx:dataLabels>
          <cx:dataId val="0"/>
          <cx:layoutPr/>
        </cx:series>
      </cx:plotAreaRegion>
    </cx:plotArea>
    <cx:legend pos="t" align="ctr" overlay="0">
      <cx:txPr>
        <a:bodyPr spcFirstLastPara="1" vertOverflow="ellipsis" horzOverflow="overflow" wrap="square" lIns="0" tIns="0" rIns="0" bIns="0" anchor="ctr" anchorCtr="1"/>
        <a:lstStyle/>
        <a:p>
          <a:pPr algn="ctr" rtl="0">
            <a:defRPr sz="1100">
              <a:latin typeface="Arial" panose="020B0604020202020204" pitchFamily="34" charset="0"/>
              <a:ea typeface="Arial" panose="020B0604020202020204" pitchFamily="34" charset="0"/>
              <a:cs typeface="Arial" panose="020B0604020202020204" pitchFamily="34" charset="0"/>
            </a:defRPr>
          </a:pPr>
          <a:endParaRPr lang="en-US" sz="11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25D003F886C47A5280E710EEDC5FE" ma:contentTypeVersion="13" ma:contentTypeDescription="Create a new document." ma:contentTypeScope="" ma:versionID="dc162d449aa139a45ca376bf6bb25915">
  <xsd:schema xmlns:xsd="http://www.w3.org/2001/XMLSchema" xmlns:xs="http://www.w3.org/2001/XMLSchema" xmlns:p="http://schemas.microsoft.com/office/2006/metadata/properties" xmlns:ns2="67115900-d901-4380-91d8-01f3d13cfd08" xmlns:ns3="78d381f8-0c9b-49a8-8f58-a41b0c0e8ee1" targetNamespace="http://schemas.microsoft.com/office/2006/metadata/properties" ma:root="true" ma:fieldsID="9dd1289454915ba05b0e6d6a078a3687" ns2:_="" ns3:_="">
    <xsd:import namespace="67115900-d901-4380-91d8-01f3d13cfd08"/>
    <xsd:import namespace="78d381f8-0c9b-49a8-8f58-a41b0c0e8e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5900-d901-4380-91d8-01f3d13cf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381f8-0c9b-49a8-8f58-a41b0c0e8e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4788d-f99b-46dc-b007-dfcba90278ac}" ma:internalName="TaxCatchAll" ma:showField="CatchAllData" ma:web="78d381f8-0c9b-49a8-8f58-a41b0c0e8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15900-d901-4380-91d8-01f3d13cfd08">
      <Terms xmlns="http://schemas.microsoft.com/office/infopath/2007/PartnerControls"/>
    </lcf76f155ced4ddcb4097134ff3c332f>
    <TaxCatchAll xmlns="78d381f8-0c9b-49a8-8f58-a41b0c0e8ee1" xsi:nil="true"/>
  </documentManagement>
</p:properties>
</file>

<file path=customXml/itemProps1.xml><?xml version="1.0" encoding="utf-8"?>
<ds:datastoreItem xmlns:ds="http://schemas.openxmlformats.org/officeDocument/2006/customXml" ds:itemID="{CD877857-358F-4D77-85C0-E8E77138BEFC}"/>
</file>

<file path=customXml/itemProps2.xml><?xml version="1.0" encoding="utf-8"?>
<ds:datastoreItem xmlns:ds="http://schemas.openxmlformats.org/officeDocument/2006/customXml" ds:itemID="{A922CF1B-C1F8-48D6-A308-9D5D19CC2D3D}"/>
</file>

<file path=customXml/itemProps3.xml><?xml version="1.0" encoding="utf-8"?>
<ds:datastoreItem xmlns:ds="http://schemas.openxmlformats.org/officeDocument/2006/customXml" ds:itemID="{907A2BE4-F63B-40BB-80C3-93DB4F318950}"/>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871</Characters>
  <Application>Microsoft Office Word</Application>
  <DocSecurity>4</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Joy Shine</cp:lastModifiedBy>
  <cp:revision>2</cp:revision>
  <dcterms:created xsi:type="dcterms:W3CDTF">2025-10-07T13:17:00Z</dcterms:created>
  <dcterms:modified xsi:type="dcterms:W3CDTF">2025-10-07T13:17:00Z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0x01010082425D003F886C47A5280E710EEDC5FE</vt:lpwstr>
  </property>
</Properties>
</file>