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09A" w14:textId="77777777" w:rsidR="002616B8" w:rsidRDefault="00C929AD" w:rsidP="00FD71CB">
      <w:pPr>
        <w:spacing w:line="360" w:lineRule="auto"/>
        <w:jc w:val="right"/>
      </w:pPr>
      <w:r>
        <w:rPr>
          <w:noProof/>
        </w:rPr>
        <w:drawing>
          <wp:inline distT="0" distB="0" distL="0" distR="0" wp14:anchorId="5F92E0EF" wp14:editId="5F92E0F0">
            <wp:extent cx="1574800" cy="838200"/>
            <wp:effectExtent l="0" t="0" r="6350" b="0"/>
            <wp:docPr id="3" name="Picture 3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E09B" w14:textId="77777777" w:rsidR="002616B8" w:rsidRDefault="002616B8" w:rsidP="00FD71CB">
      <w:pPr>
        <w:spacing w:line="360" w:lineRule="auto"/>
        <w:jc w:val="center"/>
      </w:pPr>
    </w:p>
    <w:p w14:paraId="5F92E09C" w14:textId="77777777" w:rsidR="002616B8" w:rsidRDefault="002616B8" w:rsidP="00FD71CB">
      <w:pPr>
        <w:spacing w:line="360" w:lineRule="auto"/>
        <w:jc w:val="center"/>
      </w:pPr>
    </w:p>
    <w:p w14:paraId="5F92E09D" w14:textId="7BB2A0DB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PROFILE: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91B07">
        <w:rPr>
          <w:rFonts w:ascii="Arial" w:hAnsi="Arial" w:cs="Arial"/>
          <w:sz w:val="22"/>
          <w:szCs w:val="22"/>
        </w:rPr>
        <w:t xml:space="preserve">PSL Administrative Assistant </w:t>
      </w:r>
      <w:r w:rsidR="00C91B07">
        <w:rPr>
          <w:rFonts w:ascii="Arial" w:hAnsi="Arial" w:cs="Arial"/>
          <w:sz w:val="22"/>
          <w:szCs w:val="22"/>
        </w:rPr>
        <w:tab/>
      </w:r>
    </w:p>
    <w:p w14:paraId="5F92E09E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15EA55" w14:textId="542AC7F9" w:rsidR="00774B14" w:rsidRDefault="00774B14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91B07">
        <w:rPr>
          <w:rFonts w:ascii="Arial" w:hAnsi="Arial" w:cs="Arial"/>
          <w:bCs/>
          <w:sz w:val="22"/>
          <w:szCs w:val="22"/>
        </w:rPr>
        <w:t>PSL and Tenancy Sustainment Manager</w:t>
      </w:r>
    </w:p>
    <w:p w14:paraId="17E2033F" w14:textId="77777777" w:rsidR="00774B14" w:rsidRDefault="00774B14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92E09F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b/>
          <w:sz w:val="22"/>
          <w:szCs w:val="22"/>
        </w:rPr>
        <w:tab/>
      </w:r>
      <w:r w:rsidR="00DB6D7D">
        <w:rPr>
          <w:rFonts w:ascii="Arial" w:hAnsi="Arial" w:cs="Arial"/>
          <w:sz w:val="22"/>
          <w:szCs w:val="22"/>
        </w:rPr>
        <w:t>Nil Staff</w:t>
      </w:r>
    </w:p>
    <w:p w14:paraId="5F92E0A0" w14:textId="77777777"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F4DB4" w14:textId="77777777" w:rsidR="003A7AC7" w:rsidRDefault="002616B8" w:rsidP="00FD71CB">
      <w:pPr>
        <w:spacing w:line="360" w:lineRule="auto"/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</w:p>
    <w:p w14:paraId="39461E13" w14:textId="7CA8B89D" w:rsidR="003A7AC7" w:rsidRDefault="002616B8" w:rsidP="00FD71CB">
      <w:pPr>
        <w:spacing w:line="360" w:lineRule="auto"/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F92E0A1" w14:textId="7669B57B" w:rsidR="004120C8" w:rsidRPr="00C51993" w:rsidRDefault="00C51993" w:rsidP="003A7AC7">
      <w:pPr>
        <w:spacing w:line="360" w:lineRule="auto"/>
        <w:rPr>
          <w:rFonts w:ascii="Arial" w:hAnsi="Arial" w:cs="Arial"/>
          <w:sz w:val="22"/>
          <w:szCs w:val="22"/>
        </w:rPr>
      </w:pPr>
      <w:r w:rsidRPr="00C5199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</w:t>
      </w:r>
      <w:r w:rsidR="00193898">
        <w:rPr>
          <w:rFonts w:ascii="Arial" w:hAnsi="Arial" w:cs="Arial"/>
          <w:sz w:val="22"/>
          <w:szCs w:val="22"/>
        </w:rPr>
        <w:t>rovide</w:t>
      </w:r>
      <w:r w:rsidR="00875548">
        <w:rPr>
          <w:rFonts w:ascii="Arial" w:hAnsi="Arial" w:cs="Arial"/>
          <w:sz w:val="22"/>
          <w:szCs w:val="22"/>
        </w:rPr>
        <w:t xml:space="preserve"> general</w:t>
      </w:r>
      <w:r w:rsidR="00193898">
        <w:rPr>
          <w:rFonts w:ascii="Arial" w:hAnsi="Arial" w:cs="Arial"/>
          <w:sz w:val="22"/>
          <w:szCs w:val="22"/>
        </w:rPr>
        <w:t xml:space="preserve"> administrati</w:t>
      </w:r>
      <w:r w:rsidR="00875548">
        <w:rPr>
          <w:rFonts w:ascii="Arial" w:hAnsi="Arial" w:cs="Arial"/>
          <w:sz w:val="22"/>
          <w:szCs w:val="22"/>
        </w:rPr>
        <w:t>ve</w:t>
      </w:r>
      <w:r w:rsidR="00E31B40">
        <w:rPr>
          <w:rFonts w:ascii="Arial" w:hAnsi="Arial" w:cs="Arial"/>
          <w:sz w:val="22"/>
          <w:szCs w:val="22"/>
        </w:rPr>
        <w:t xml:space="preserve"> support</w:t>
      </w:r>
      <w:r w:rsidR="004120C8">
        <w:rPr>
          <w:rFonts w:ascii="Arial" w:hAnsi="Arial" w:cs="Arial"/>
          <w:sz w:val="22"/>
          <w:szCs w:val="22"/>
        </w:rPr>
        <w:t xml:space="preserve"> </w:t>
      </w:r>
      <w:r w:rsidR="00193D34">
        <w:rPr>
          <w:rFonts w:ascii="Arial" w:hAnsi="Arial" w:cs="Arial"/>
          <w:sz w:val="22"/>
          <w:szCs w:val="22"/>
        </w:rPr>
        <w:t>to the</w:t>
      </w:r>
      <w:r w:rsidR="00C91B07">
        <w:rPr>
          <w:rFonts w:ascii="Arial" w:hAnsi="Arial" w:cs="Arial"/>
          <w:sz w:val="22"/>
          <w:szCs w:val="22"/>
        </w:rPr>
        <w:t xml:space="preserve"> PSL and Tenancy Sustainment Manager</w:t>
      </w:r>
      <w:r w:rsidR="00D846C6">
        <w:rPr>
          <w:rFonts w:ascii="Arial" w:hAnsi="Arial" w:cs="Arial"/>
          <w:sz w:val="22"/>
          <w:szCs w:val="22"/>
        </w:rPr>
        <w:t>,</w:t>
      </w:r>
      <w:r w:rsidR="007C6BF1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but not limited to</w:t>
      </w:r>
      <w:r w:rsidR="00421432">
        <w:rPr>
          <w:rFonts w:ascii="Arial" w:hAnsi="Arial" w:cs="Arial"/>
          <w:sz w:val="22"/>
          <w:szCs w:val="22"/>
        </w:rPr>
        <w:t>,</w:t>
      </w:r>
      <w:r w:rsidR="007C6BF1">
        <w:rPr>
          <w:rFonts w:ascii="Arial" w:hAnsi="Arial" w:cs="Arial"/>
          <w:sz w:val="22"/>
          <w:szCs w:val="22"/>
        </w:rPr>
        <w:t xml:space="preserve"> </w:t>
      </w:r>
      <w:r w:rsidR="005D5A84">
        <w:rPr>
          <w:rFonts w:ascii="Arial" w:hAnsi="Arial" w:cs="Arial"/>
          <w:sz w:val="22"/>
          <w:szCs w:val="22"/>
        </w:rPr>
        <w:t xml:space="preserve">work relating to </w:t>
      </w:r>
      <w:r w:rsidR="00C91B07">
        <w:rPr>
          <w:rFonts w:ascii="Arial" w:hAnsi="Arial" w:cs="Arial"/>
          <w:sz w:val="22"/>
          <w:szCs w:val="22"/>
        </w:rPr>
        <w:t xml:space="preserve">Private Sector Leasehold </w:t>
      </w:r>
      <w:r w:rsidR="00E0772F">
        <w:rPr>
          <w:rFonts w:ascii="Arial" w:hAnsi="Arial" w:cs="Arial"/>
          <w:sz w:val="22"/>
          <w:szCs w:val="22"/>
        </w:rPr>
        <w:t>and</w:t>
      </w:r>
      <w:r w:rsidR="00C91B07">
        <w:rPr>
          <w:rFonts w:ascii="Arial" w:hAnsi="Arial" w:cs="Arial"/>
          <w:sz w:val="22"/>
          <w:szCs w:val="22"/>
        </w:rPr>
        <w:t xml:space="preserve"> Housing Management activities. </w:t>
      </w:r>
    </w:p>
    <w:p w14:paraId="5F92E0A2" w14:textId="77777777" w:rsidR="004120C8" w:rsidRDefault="004120C8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14:paraId="5F92E0A3" w14:textId="7F9F2570" w:rsidR="002616B8" w:rsidRDefault="00D557FB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p</w:t>
      </w:r>
      <w:r w:rsidR="004120C8">
        <w:rPr>
          <w:rFonts w:ascii="Arial" w:hAnsi="Arial"/>
          <w:sz w:val="22"/>
          <w:szCs w:val="22"/>
        </w:rPr>
        <w:t xml:space="preserve">rovide </w:t>
      </w:r>
      <w:r w:rsidR="002616B8" w:rsidRPr="002616B8">
        <w:rPr>
          <w:rFonts w:ascii="Arial" w:hAnsi="Arial"/>
          <w:sz w:val="22"/>
          <w:szCs w:val="22"/>
        </w:rPr>
        <w:t>the highest standard of customer care</w:t>
      </w:r>
      <w:r w:rsidR="004120C8">
        <w:rPr>
          <w:rFonts w:ascii="Arial" w:hAnsi="Arial"/>
          <w:sz w:val="22"/>
          <w:szCs w:val="22"/>
        </w:rPr>
        <w:t xml:space="preserve"> to </w:t>
      </w:r>
      <w:r w:rsidR="005E1B44">
        <w:rPr>
          <w:rFonts w:ascii="Arial" w:hAnsi="Arial"/>
          <w:sz w:val="22"/>
          <w:szCs w:val="22"/>
        </w:rPr>
        <w:t>Teign Housing’s</w:t>
      </w:r>
      <w:r w:rsidR="004120C8">
        <w:rPr>
          <w:rFonts w:ascii="Arial" w:hAnsi="Arial"/>
          <w:sz w:val="22"/>
          <w:szCs w:val="22"/>
        </w:rPr>
        <w:t xml:space="preserve"> tenants and customers</w:t>
      </w:r>
      <w:r w:rsidR="002616B8" w:rsidRPr="002616B8">
        <w:rPr>
          <w:rFonts w:ascii="Arial" w:hAnsi="Arial"/>
          <w:sz w:val="22"/>
          <w:szCs w:val="22"/>
        </w:rPr>
        <w:t>.</w:t>
      </w:r>
    </w:p>
    <w:p w14:paraId="5F92E0A4" w14:textId="77777777" w:rsidR="00087B5A" w:rsidRPr="002616B8" w:rsidRDefault="00087B5A" w:rsidP="003A7AC7">
      <w:pPr>
        <w:pStyle w:val="BodyText"/>
        <w:spacing w:line="360" w:lineRule="auto"/>
        <w:jc w:val="left"/>
        <w:rPr>
          <w:rFonts w:ascii="Arial" w:hAnsi="Arial"/>
          <w:sz w:val="22"/>
          <w:szCs w:val="22"/>
        </w:rPr>
      </w:pPr>
    </w:p>
    <w:p w14:paraId="5F92E0A5" w14:textId="77777777" w:rsidR="001B0DE0" w:rsidRDefault="00D557FB" w:rsidP="003A7AC7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e</w:t>
      </w:r>
      <w:r w:rsidR="002616B8" w:rsidRPr="002616B8">
        <w:rPr>
          <w:rFonts w:ascii="Arial" w:hAnsi="Arial"/>
          <w:sz w:val="22"/>
          <w:szCs w:val="22"/>
        </w:rPr>
        <w:t>nsure that all activities undertaken are carried out to the highest standards of integrity and profess</w:t>
      </w:r>
      <w:r w:rsidR="005E1B44">
        <w:rPr>
          <w:rFonts w:ascii="Arial" w:hAnsi="Arial"/>
          <w:sz w:val="22"/>
          <w:szCs w:val="22"/>
        </w:rPr>
        <w:t>ionalism in accordance with Teign Housing</w:t>
      </w:r>
      <w:r w:rsidR="002616B8" w:rsidRPr="002616B8">
        <w:rPr>
          <w:rFonts w:ascii="Arial" w:hAnsi="Arial"/>
          <w:sz w:val="22"/>
          <w:szCs w:val="22"/>
        </w:rPr>
        <w:t>’s policies and procedures.</w:t>
      </w:r>
    </w:p>
    <w:p w14:paraId="5F92E0A6" w14:textId="77777777" w:rsidR="00087B5A" w:rsidRDefault="00087B5A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5F92E0A7" w14:textId="77777777" w:rsidR="00BA628C" w:rsidRDefault="00BA628C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5F92E0AC" w14:textId="4857C737" w:rsidR="008B3925" w:rsidRDefault="001D6BB8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</w:t>
      </w:r>
      <w:r w:rsidR="002616B8">
        <w:rPr>
          <w:rFonts w:ascii="Arial" w:hAnsi="Arial"/>
          <w:b/>
          <w:sz w:val="22"/>
          <w:szCs w:val="22"/>
        </w:rPr>
        <w:t>EY ACHIEVEMENT AREAS:</w:t>
      </w:r>
    </w:p>
    <w:p w14:paraId="4124E156" w14:textId="77777777" w:rsidR="00076E91" w:rsidRDefault="00076E91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14:paraId="24A5C3C6" w14:textId="2B7EDEDA" w:rsid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 w:rsidRPr="00980885">
        <w:rPr>
          <w:rFonts w:ascii="Arial" w:hAnsi="Arial"/>
          <w:bCs/>
          <w:sz w:val="22"/>
          <w:szCs w:val="22"/>
        </w:rPr>
        <w:t>1.</w:t>
      </w:r>
      <w:r>
        <w:rPr>
          <w:rFonts w:ascii="Arial" w:hAnsi="Arial"/>
          <w:bCs/>
          <w:sz w:val="22"/>
          <w:szCs w:val="22"/>
        </w:rPr>
        <w:t xml:space="preserve"> </w:t>
      </w:r>
      <w:r w:rsidRPr="00980885">
        <w:rPr>
          <w:rFonts w:ascii="Arial" w:hAnsi="Arial"/>
          <w:bCs/>
          <w:sz w:val="22"/>
          <w:szCs w:val="22"/>
        </w:rPr>
        <w:t>Focussing on</w:t>
      </w:r>
      <w:r w:rsidR="004E26A0">
        <w:rPr>
          <w:rFonts w:ascii="Arial" w:hAnsi="Arial"/>
          <w:bCs/>
          <w:sz w:val="22"/>
          <w:szCs w:val="22"/>
        </w:rPr>
        <w:t xml:space="preserve"> a</w:t>
      </w:r>
      <w:r w:rsidRPr="00980885">
        <w:rPr>
          <w:rFonts w:ascii="Arial" w:hAnsi="Arial"/>
          <w:bCs/>
          <w:sz w:val="22"/>
          <w:szCs w:val="22"/>
        </w:rPr>
        <w:t xml:space="preserve"> </w:t>
      </w:r>
      <w:r w:rsidR="00384B7B" w:rsidRPr="00980885">
        <w:rPr>
          <w:rFonts w:ascii="Arial" w:hAnsi="Arial"/>
          <w:bCs/>
          <w:sz w:val="22"/>
          <w:szCs w:val="22"/>
        </w:rPr>
        <w:t>high-quality</w:t>
      </w:r>
      <w:r w:rsidRPr="00980885">
        <w:rPr>
          <w:rFonts w:ascii="Arial" w:hAnsi="Arial"/>
          <w:bCs/>
          <w:sz w:val="22"/>
          <w:szCs w:val="22"/>
        </w:rPr>
        <w:t xml:space="preserve"> service provision for </w:t>
      </w:r>
      <w:r w:rsidR="00C91B07">
        <w:rPr>
          <w:rFonts w:ascii="Arial" w:hAnsi="Arial"/>
          <w:bCs/>
          <w:sz w:val="22"/>
          <w:szCs w:val="22"/>
        </w:rPr>
        <w:t>prospective tenants and customers as part of our Private Sector Leasehold contract,</w:t>
      </w:r>
      <w:r w:rsidRPr="00980885">
        <w:rPr>
          <w:rFonts w:ascii="Arial" w:hAnsi="Arial"/>
          <w:bCs/>
          <w:sz w:val="22"/>
          <w:szCs w:val="22"/>
        </w:rPr>
        <w:t xml:space="preserve"> th</w:t>
      </w:r>
      <w:r w:rsidR="003E538C">
        <w:rPr>
          <w:rFonts w:ascii="Arial" w:hAnsi="Arial"/>
          <w:bCs/>
          <w:sz w:val="22"/>
          <w:szCs w:val="22"/>
        </w:rPr>
        <w:t>at</w:t>
      </w:r>
      <w:r w:rsidRPr="00980885">
        <w:rPr>
          <w:rFonts w:ascii="Arial" w:hAnsi="Arial"/>
          <w:bCs/>
          <w:sz w:val="22"/>
          <w:szCs w:val="22"/>
        </w:rPr>
        <w:t xml:space="preserve"> demonstrates value for money whilst ensuring that services, information, </w:t>
      </w:r>
      <w:r w:rsidR="00190D71" w:rsidRPr="00980885">
        <w:rPr>
          <w:rFonts w:ascii="Arial" w:hAnsi="Arial"/>
          <w:bCs/>
          <w:sz w:val="22"/>
          <w:szCs w:val="22"/>
        </w:rPr>
        <w:t>support,</w:t>
      </w:r>
      <w:r w:rsidRPr="00980885">
        <w:rPr>
          <w:rFonts w:ascii="Arial" w:hAnsi="Arial"/>
          <w:bCs/>
          <w:sz w:val="22"/>
          <w:szCs w:val="22"/>
        </w:rPr>
        <w:t xml:space="preserve"> and advice are supplied in ways that meet customer</w:t>
      </w:r>
      <w:r w:rsidR="00C91B07">
        <w:rPr>
          <w:rFonts w:ascii="Arial" w:hAnsi="Arial"/>
          <w:bCs/>
          <w:sz w:val="22"/>
          <w:szCs w:val="22"/>
        </w:rPr>
        <w:t xml:space="preserve">s and the needs of the business. </w:t>
      </w:r>
    </w:p>
    <w:p w14:paraId="50BEDE91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0B0F8FE9" w14:textId="1735B94C" w:rsidR="00980885" w:rsidRDefault="00B14FD7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Assist with ensuring </w:t>
      </w:r>
      <w:r w:rsidR="00193D94">
        <w:rPr>
          <w:rFonts w:ascii="Arial" w:hAnsi="Arial"/>
          <w:bCs/>
          <w:sz w:val="22"/>
          <w:szCs w:val="22"/>
        </w:rPr>
        <w:t xml:space="preserve">the organisation maintains </w:t>
      </w:r>
      <w:r w:rsidR="00C91B07">
        <w:rPr>
          <w:rFonts w:ascii="Arial" w:hAnsi="Arial"/>
          <w:bCs/>
          <w:sz w:val="22"/>
          <w:szCs w:val="22"/>
        </w:rPr>
        <w:t>up-to-date</w:t>
      </w:r>
      <w:r w:rsidR="00980885" w:rsidRPr="00980885">
        <w:rPr>
          <w:rFonts w:ascii="Arial" w:hAnsi="Arial"/>
          <w:bCs/>
          <w:sz w:val="22"/>
          <w:szCs w:val="22"/>
        </w:rPr>
        <w:t xml:space="preserve"> and </w:t>
      </w:r>
      <w:r w:rsidR="003B6A32">
        <w:rPr>
          <w:rFonts w:ascii="Arial" w:hAnsi="Arial"/>
          <w:bCs/>
          <w:sz w:val="22"/>
          <w:szCs w:val="22"/>
        </w:rPr>
        <w:t xml:space="preserve">relevant data on </w:t>
      </w:r>
      <w:r w:rsidR="00C91B07">
        <w:rPr>
          <w:rFonts w:ascii="Arial" w:hAnsi="Arial"/>
          <w:bCs/>
          <w:sz w:val="22"/>
          <w:szCs w:val="22"/>
        </w:rPr>
        <w:t xml:space="preserve">PSL properties. </w:t>
      </w:r>
    </w:p>
    <w:p w14:paraId="2961E9F0" w14:textId="77777777" w:rsidR="003B6A32" w:rsidRDefault="003B6A32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57A0C8A1" w14:textId="05B6105D" w:rsidR="003B6A32" w:rsidRDefault="003B6A32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3. Assist with </w:t>
      </w:r>
      <w:r w:rsidR="006D4E65">
        <w:rPr>
          <w:rFonts w:ascii="Arial" w:hAnsi="Arial"/>
          <w:bCs/>
          <w:sz w:val="22"/>
          <w:szCs w:val="22"/>
        </w:rPr>
        <w:t xml:space="preserve">all aspects of </w:t>
      </w:r>
      <w:r w:rsidR="00C91B07">
        <w:rPr>
          <w:rFonts w:ascii="Arial" w:hAnsi="Arial"/>
          <w:bCs/>
          <w:sz w:val="22"/>
          <w:szCs w:val="22"/>
        </w:rPr>
        <w:t>invoicing and liaison with contractors to ensure works are carried out in a timely manner</w:t>
      </w:r>
    </w:p>
    <w:p w14:paraId="0E1F40F3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6F109982" w14:textId="26EFD5C3" w:rsidR="00980885" w:rsidRDefault="00ED541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3F0A4C">
        <w:rPr>
          <w:rFonts w:ascii="Arial" w:hAnsi="Arial"/>
          <w:bCs/>
          <w:sz w:val="22"/>
          <w:szCs w:val="22"/>
        </w:rPr>
        <w:t>M</w:t>
      </w:r>
      <w:r w:rsidR="00980885" w:rsidRPr="00980885">
        <w:rPr>
          <w:rFonts w:ascii="Arial" w:hAnsi="Arial"/>
          <w:bCs/>
          <w:sz w:val="22"/>
          <w:szCs w:val="22"/>
        </w:rPr>
        <w:t>onitoring and review of</w:t>
      </w:r>
      <w:r w:rsidR="003F0A4C">
        <w:rPr>
          <w:rFonts w:ascii="Arial" w:hAnsi="Arial"/>
          <w:bCs/>
          <w:sz w:val="22"/>
          <w:szCs w:val="22"/>
        </w:rPr>
        <w:t xml:space="preserve"> action and delivery</w:t>
      </w:r>
      <w:r w:rsidR="00980885" w:rsidRPr="00980885">
        <w:rPr>
          <w:rFonts w:ascii="Arial" w:hAnsi="Arial"/>
          <w:bCs/>
          <w:sz w:val="22"/>
          <w:szCs w:val="22"/>
        </w:rPr>
        <w:t xml:space="preserve"> plans to</w:t>
      </w:r>
      <w:r w:rsidR="00EE4EFE">
        <w:rPr>
          <w:rFonts w:ascii="Arial" w:hAnsi="Arial"/>
          <w:bCs/>
          <w:sz w:val="22"/>
          <w:szCs w:val="22"/>
        </w:rPr>
        <w:t xml:space="preserve"> ensure</w:t>
      </w:r>
      <w:r w:rsidR="00980885" w:rsidRPr="00980885">
        <w:rPr>
          <w:rFonts w:ascii="Arial" w:hAnsi="Arial"/>
          <w:bCs/>
          <w:sz w:val="22"/>
          <w:szCs w:val="22"/>
        </w:rPr>
        <w:t xml:space="preserve"> deliver</w:t>
      </w:r>
      <w:r w:rsidR="00EE4EFE">
        <w:rPr>
          <w:rFonts w:ascii="Arial" w:hAnsi="Arial"/>
          <w:bCs/>
          <w:sz w:val="22"/>
          <w:szCs w:val="22"/>
        </w:rPr>
        <w:t>y</w:t>
      </w:r>
      <w:r w:rsidR="00980885" w:rsidRPr="00980885">
        <w:rPr>
          <w:rFonts w:ascii="Arial" w:hAnsi="Arial"/>
          <w:bCs/>
          <w:sz w:val="22"/>
          <w:szCs w:val="22"/>
        </w:rPr>
        <w:t xml:space="preserve"> </w:t>
      </w:r>
      <w:r w:rsidR="00EE4EFE">
        <w:rPr>
          <w:rFonts w:ascii="Arial" w:hAnsi="Arial"/>
          <w:bCs/>
          <w:sz w:val="22"/>
          <w:szCs w:val="22"/>
        </w:rPr>
        <w:t>of</w:t>
      </w:r>
      <w:r w:rsidR="00980885" w:rsidRPr="00980885">
        <w:rPr>
          <w:rFonts w:ascii="Arial" w:hAnsi="Arial"/>
          <w:bCs/>
          <w:sz w:val="22"/>
          <w:szCs w:val="22"/>
        </w:rPr>
        <w:t xml:space="preserve"> agreed objectives and targets.</w:t>
      </w:r>
    </w:p>
    <w:p w14:paraId="3231E318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6ADE1572" w14:textId="7155533D" w:rsidR="00980885" w:rsidRDefault="00ED541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5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6562F">
        <w:rPr>
          <w:rFonts w:ascii="Arial" w:hAnsi="Arial"/>
          <w:bCs/>
          <w:sz w:val="22"/>
          <w:szCs w:val="22"/>
        </w:rPr>
        <w:t>Assist with</w:t>
      </w:r>
      <w:r w:rsidR="00980885" w:rsidRPr="00980885">
        <w:rPr>
          <w:rFonts w:ascii="Arial" w:hAnsi="Arial"/>
          <w:bCs/>
          <w:sz w:val="22"/>
          <w:szCs w:val="22"/>
        </w:rPr>
        <w:t xml:space="preserve"> reports</w:t>
      </w:r>
      <w:r w:rsidR="00FA1AF3">
        <w:rPr>
          <w:rFonts w:ascii="Arial" w:hAnsi="Arial"/>
          <w:bCs/>
          <w:sz w:val="22"/>
          <w:szCs w:val="22"/>
        </w:rPr>
        <w:t xml:space="preserve"> relating to action and delivery plans,</w:t>
      </w:r>
      <w:r w:rsidR="00DA4E49">
        <w:rPr>
          <w:rFonts w:ascii="Arial" w:hAnsi="Arial"/>
          <w:bCs/>
          <w:sz w:val="22"/>
          <w:szCs w:val="22"/>
        </w:rPr>
        <w:t xml:space="preserve"> changes in</w:t>
      </w:r>
      <w:r w:rsidR="00FA1AF3">
        <w:rPr>
          <w:rFonts w:ascii="Arial" w:hAnsi="Arial"/>
          <w:bCs/>
          <w:sz w:val="22"/>
          <w:szCs w:val="22"/>
        </w:rPr>
        <w:t xml:space="preserve"> </w:t>
      </w:r>
      <w:r w:rsidR="00DA4E49" w:rsidRPr="00980885">
        <w:rPr>
          <w:rFonts w:ascii="Arial" w:hAnsi="Arial"/>
          <w:bCs/>
          <w:sz w:val="22"/>
          <w:szCs w:val="22"/>
        </w:rPr>
        <w:t>legislation,</w:t>
      </w:r>
      <w:r w:rsidR="00980885" w:rsidRPr="00980885">
        <w:rPr>
          <w:rFonts w:ascii="Arial" w:hAnsi="Arial"/>
          <w:bCs/>
          <w:sz w:val="22"/>
          <w:szCs w:val="22"/>
        </w:rPr>
        <w:t xml:space="preserve"> and good practice</w:t>
      </w:r>
      <w:r w:rsidR="00FA1AF3">
        <w:rPr>
          <w:rFonts w:ascii="Arial" w:hAnsi="Arial"/>
          <w:bCs/>
          <w:sz w:val="22"/>
          <w:szCs w:val="22"/>
        </w:rPr>
        <w:t xml:space="preserve"> matters.</w:t>
      </w:r>
    </w:p>
    <w:p w14:paraId="0DB52C29" w14:textId="77777777" w:rsidR="005E737D" w:rsidRDefault="005E737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1A702B66" w14:textId="3E8478E5" w:rsidR="00BD307E" w:rsidRDefault="005E737D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6. </w:t>
      </w:r>
      <w:r w:rsidR="00AE2B46">
        <w:rPr>
          <w:rFonts w:ascii="Arial" w:hAnsi="Arial"/>
          <w:bCs/>
          <w:sz w:val="22"/>
          <w:szCs w:val="22"/>
        </w:rPr>
        <w:t xml:space="preserve">Manage </w:t>
      </w:r>
      <w:r w:rsidRPr="005E737D">
        <w:rPr>
          <w:rFonts w:ascii="Arial" w:hAnsi="Arial"/>
          <w:bCs/>
          <w:sz w:val="22"/>
          <w:szCs w:val="22"/>
        </w:rPr>
        <w:t>queries</w:t>
      </w:r>
      <w:r w:rsidR="002F6FAF">
        <w:rPr>
          <w:rFonts w:ascii="Arial" w:hAnsi="Arial"/>
          <w:bCs/>
          <w:sz w:val="22"/>
          <w:szCs w:val="22"/>
        </w:rPr>
        <w:t xml:space="preserve"> </w:t>
      </w:r>
      <w:r w:rsidRPr="005E737D">
        <w:rPr>
          <w:rFonts w:ascii="Arial" w:hAnsi="Arial"/>
          <w:bCs/>
          <w:sz w:val="22"/>
          <w:szCs w:val="22"/>
        </w:rPr>
        <w:t xml:space="preserve">from customers, </w:t>
      </w:r>
      <w:r w:rsidR="007202F8">
        <w:rPr>
          <w:rFonts w:ascii="Arial" w:hAnsi="Arial"/>
          <w:bCs/>
          <w:sz w:val="22"/>
          <w:szCs w:val="22"/>
        </w:rPr>
        <w:t>colleagues</w:t>
      </w:r>
      <w:r w:rsidRPr="005E737D">
        <w:rPr>
          <w:rFonts w:ascii="Arial" w:hAnsi="Arial"/>
          <w:bCs/>
          <w:sz w:val="22"/>
          <w:szCs w:val="22"/>
        </w:rPr>
        <w:t xml:space="preserve">, </w:t>
      </w:r>
      <w:r w:rsidR="00AE2B46">
        <w:rPr>
          <w:rFonts w:ascii="Arial" w:hAnsi="Arial"/>
          <w:bCs/>
          <w:sz w:val="22"/>
          <w:szCs w:val="22"/>
        </w:rPr>
        <w:t>or</w:t>
      </w:r>
      <w:r w:rsidRPr="005E737D">
        <w:rPr>
          <w:rFonts w:ascii="Arial" w:hAnsi="Arial"/>
          <w:bCs/>
          <w:sz w:val="22"/>
          <w:szCs w:val="22"/>
        </w:rPr>
        <w:t xml:space="preserve"> </w:t>
      </w:r>
      <w:r w:rsidR="00622DD1">
        <w:rPr>
          <w:rFonts w:ascii="Arial" w:hAnsi="Arial"/>
          <w:bCs/>
          <w:sz w:val="22"/>
          <w:szCs w:val="22"/>
        </w:rPr>
        <w:t>other external</w:t>
      </w:r>
      <w:r w:rsidRPr="005E737D">
        <w:rPr>
          <w:rFonts w:ascii="Arial" w:hAnsi="Arial"/>
          <w:bCs/>
          <w:sz w:val="22"/>
          <w:szCs w:val="22"/>
        </w:rPr>
        <w:t xml:space="preserve"> </w:t>
      </w:r>
      <w:r w:rsidR="00622DD1">
        <w:rPr>
          <w:rFonts w:ascii="Arial" w:hAnsi="Arial"/>
          <w:bCs/>
          <w:sz w:val="22"/>
          <w:szCs w:val="22"/>
        </w:rPr>
        <w:t>companies or organisations</w:t>
      </w:r>
      <w:r w:rsidR="007202F8">
        <w:rPr>
          <w:rFonts w:ascii="Arial" w:hAnsi="Arial"/>
          <w:bCs/>
          <w:sz w:val="22"/>
          <w:szCs w:val="22"/>
        </w:rPr>
        <w:t xml:space="preserve"> </w:t>
      </w:r>
      <w:r w:rsidR="00BD307E">
        <w:rPr>
          <w:rFonts w:ascii="Arial" w:hAnsi="Arial"/>
          <w:bCs/>
          <w:sz w:val="22"/>
          <w:szCs w:val="22"/>
        </w:rPr>
        <w:t>diligently</w:t>
      </w:r>
      <w:r w:rsidR="000B1E94">
        <w:rPr>
          <w:rFonts w:ascii="Arial" w:hAnsi="Arial"/>
          <w:bCs/>
          <w:sz w:val="22"/>
          <w:szCs w:val="22"/>
        </w:rPr>
        <w:t xml:space="preserve"> and professionally.</w:t>
      </w:r>
    </w:p>
    <w:p w14:paraId="473BCBC3" w14:textId="77777777" w:rsidR="00BD307E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5B0CD32C" w14:textId="66CAFEEE" w:rsidR="00DA0991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7. </w:t>
      </w:r>
      <w:r w:rsidR="005E737D">
        <w:rPr>
          <w:rFonts w:ascii="Arial" w:hAnsi="Arial"/>
          <w:bCs/>
          <w:sz w:val="22"/>
          <w:szCs w:val="22"/>
        </w:rPr>
        <w:t>R</w:t>
      </w:r>
      <w:r w:rsidR="005E737D" w:rsidRPr="005E737D">
        <w:rPr>
          <w:rFonts w:ascii="Arial" w:hAnsi="Arial"/>
          <w:bCs/>
          <w:sz w:val="22"/>
          <w:szCs w:val="22"/>
        </w:rPr>
        <w:t>aise orders and process invoices</w:t>
      </w:r>
      <w:r w:rsidR="00457E6F">
        <w:rPr>
          <w:rFonts w:ascii="Arial" w:hAnsi="Arial"/>
          <w:bCs/>
          <w:sz w:val="22"/>
          <w:szCs w:val="22"/>
        </w:rPr>
        <w:t>.</w:t>
      </w:r>
    </w:p>
    <w:p w14:paraId="38F484A2" w14:textId="77777777" w:rsidR="00DA0991" w:rsidRDefault="00DA0991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4C15465C" w14:textId="261D8F0F" w:rsidR="00DA0991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8</w:t>
      </w:r>
      <w:r w:rsidR="00DA0991">
        <w:rPr>
          <w:rFonts w:ascii="Arial" w:hAnsi="Arial"/>
          <w:bCs/>
          <w:sz w:val="22"/>
          <w:szCs w:val="22"/>
        </w:rPr>
        <w:t xml:space="preserve">. </w:t>
      </w:r>
      <w:r w:rsidR="00BF3C8E">
        <w:rPr>
          <w:rFonts w:ascii="Arial" w:hAnsi="Arial"/>
          <w:bCs/>
          <w:sz w:val="22"/>
          <w:szCs w:val="22"/>
        </w:rPr>
        <w:t>Meeting administration</w:t>
      </w:r>
      <w:r w:rsidR="00DA0991">
        <w:rPr>
          <w:rFonts w:ascii="Arial" w:hAnsi="Arial"/>
          <w:bCs/>
          <w:sz w:val="22"/>
          <w:szCs w:val="22"/>
        </w:rPr>
        <w:t xml:space="preserve"> - o</w:t>
      </w:r>
      <w:r w:rsidR="00DA0991" w:rsidRPr="00DA0991">
        <w:rPr>
          <w:rFonts w:ascii="Arial" w:hAnsi="Arial"/>
          <w:bCs/>
          <w:sz w:val="22"/>
          <w:szCs w:val="22"/>
        </w:rPr>
        <w:t xml:space="preserve">rganise, attend, </w:t>
      </w:r>
      <w:r w:rsidR="00343D52" w:rsidRPr="00DA0991">
        <w:rPr>
          <w:rFonts w:ascii="Arial" w:hAnsi="Arial"/>
          <w:bCs/>
          <w:sz w:val="22"/>
          <w:szCs w:val="22"/>
        </w:rPr>
        <w:t>record,</w:t>
      </w:r>
      <w:r w:rsidR="00DA0991" w:rsidRPr="00DA0991">
        <w:rPr>
          <w:rFonts w:ascii="Arial" w:hAnsi="Arial"/>
          <w:bCs/>
          <w:sz w:val="22"/>
          <w:szCs w:val="22"/>
        </w:rPr>
        <w:t xml:space="preserve"> and distribute minutes</w:t>
      </w:r>
      <w:r w:rsidR="00DA0991">
        <w:rPr>
          <w:rFonts w:ascii="Arial" w:hAnsi="Arial"/>
          <w:bCs/>
          <w:sz w:val="22"/>
          <w:szCs w:val="22"/>
        </w:rPr>
        <w:t>.</w:t>
      </w:r>
    </w:p>
    <w:p w14:paraId="69299EEE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74D61FBB" w14:textId="6EB5580B" w:rsidR="00980885" w:rsidRDefault="00BD307E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9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80885" w:rsidRPr="00980885">
        <w:rPr>
          <w:rFonts w:ascii="Arial" w:hAnsi="Arial"/>
          <w:bCs/>
          <w:sz w:val="22"/>
          <w:szCs w:val="22"/>
        </w:rPr>
        <w:t>Support the development of information</w:t>
      </w:r>
      <w:r w:rsidR="00DA0991">
        <w:rPr>
          <w:rFonts w:ascii="Arial" w:hAnsi="Arial"/>
          <w:bCs/>
          <w:sz w:val="22"/>
          <w:szCs w:val="22"/>
        </w:rPr>
        <w:t xml:space="preserve"> software/</w:t>
      </w:r>
      <w:r w:rsidR="00980885" w:rsidRPr="00980885">
        <w:rPr>
          <w:rFonts w:ascii="Arial" w:hAnsi="Arial"/>
          <w:bCs/>
          <w:sz w:val="22"/>
          <w:szCs w:val="22"/>
        </w:rPr>
        <w:t>systems</w:t>
      </w:r>
      <w:r w:rsidR="00DA0991">
        <w:rPr>
          <w:rFonts w:ascii="Arial" w:hAnsi="Arial"/>
          <w:bCs/>
          <w:sz w:val="22"/>
          <w:szCs w:val="22"/>
        </w:rPr>
        <w:t>.</w:t>
      </w:r>
    </w:p>
    <w:p w14:paraId="617D25C6" w14:textId="77777777" w:rsidR="00980885" w:rsidRPr="00980885" w:rsidRDefault="00980885" w:rsidP="00980885">
      <w:pPr>
        <w:pStyle w:val="BodyText"/>
        <w:spacing w:line="360" w:lineRule="auto"/>
        <w:rPr>
          <w:rFonts w:ascii="Arial" w:hAnsi="Arial"/>
          <w:bCs/>
          <w:sz w:val="22"/>
          <w:szCs w:val="22"/>
        </w:rPr>
      </w:pPr>
    </w:p>
    <w:p w14:paraId="0369D63D" w14:textId="1E51BA78" w:rsidR="00076E91" w:rsidRPr="00DA0991" w:rsidRDefault="00BD307E" w:rsidP="00076E91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10</w:t>
      </w:r>
      <w:r w:rsidR="00980885" w:rsidRPr="00980885">
        <w:rPr>
          <w:rFonts w:ascii="Arial" w:hAnsi="Arial"/>
          <w:bCs/>
          <w:sz w:val="22"/>
          <w:szCs w:val="22"/>
        </w:rPr>
        <w:t>.</w:t>
      </w:r>
      <w:r w:rsidR="00980885">
        <w:rPr>
          <w:rFonts w:ascii="Arial" w:hAnsi="Arial"/>
          <w:bCs/>
          <w:sz w:val="22"/>
          <w:szCs w:val="22"/>
        </w:rPr>
        <w:t xml:space="preserve"> </w:t>
      </w:r>
      <w:r w:rsidR="00980885" w:rsidRPr="00980885">
        <w:rPr>
          <w:rFonts w:ascii="Arial" w:hAnsi="Arial"/>
          <w:bCs/>
          <w:sz w:val="22"/>
          <w:szCs w:val="22"/>
        </w:rPr>
        <w:t xml:space="preserve">Ensure that </w:t>
      </w:r>
      <w:proofErr w:type="spellStart"/>
      <w:r w:rsidR="00980885" w:rsidRPr="00980885">
        <w:rPr>
          <w:rFonts w:ascii="Arial" w:hAnsi="Arial"/>
          <w:bCs/>
          <w:sz w:val="22"/>
          <w:szCs w:val="22"/>
        </w:rPr>
        <w:t>Teign’s</w:t>
      </w:r>
      <w:proofErr w:type="spellEnd"/>
      <w:r w:rsidR="00980885" w:rsidRPr="00980885">
        <w:rPr>
          <w:rFonts w:ascii="Arial" w:hAnsi="Arial"/>
          <w:bCs/>
          <w:sz w:val="22"/>
          <w:szCs w:val="22"/>
        </w:rPr>
        <w:t xml:space="preserve"> Equality &amp; Diversity Strategy is fully</w:t>
      </w:r>
      <w:r w:rsidR="00B47125">
        <w:rPr>
          <w:rFonts w:ascii="Arial" w:hAnsi="Arial"/>
          <w:bCs/>
          <w:sz w:val="22"/>
          <w:szCs w:val="22"/>
        </w:rPr>
        <w:t xml:space="preserve"> and</w:t>
      </w:r>
      <w:r w:rsidR="00980885" w:rsidRPr="00980885">
        <w:rPr>
          <w:rFonts w:ascii="Arial" w:hAnsi="Arial"/>
          <w:bCs/>
          <w:sz w:val="22"/>
          <w:szCs w:val="22"/>
        </w:rPr>
        <w:t xml:space="preserve"> </w:t>
      </w:r>
      <w:r w:rsidRPr="00980885">
        <w:rPr>
          <w:rFonts w:ascii="Arial" w:hAnsi="Arial"/>
          <w:bCs/>
          <w:sz w:val="22"/>
          <w:szCs w:val="22"/>
        </w:rPr>
        <w:t>always implemented</w:t>
      </w:r>
      <w:r w:rsidR="00980885" w:rsidRPr="00980885">
        <w:rPr>
          <w:rFonts w:ascii="Arial" w:hAnsi="Arial"/>
          <w:bCs/>
          <w:sz w:val="22"/>
          <w:szCs w:val="22"/>
        </w:rPr>
        <w:t>, demonstrating commitment to diversity and inclusion in all aspects of the team’s work.</w:t>
      </w:r>
    </w:p>
    <w:p w14:paraId="01C3DA8D" w14:textId="77777777" w:rsidR="00456B42" w:rsidRPr="008C10F9" w:rsidRDefault="00456B42" w:rsidP="00076E91">
      <w:pPr>
        <w:pStyle w:val="BodyText"/>
        <w:spacing w:line="360" w:lineRule="auto"/>
        <w:jc w:val="left"/>
        <w:rPr>
          <w:rFonts w:ascii="Arial" w:hAnsi="Arial"/>
          <w:bCs/>
          <w:sz w:val="22"/>
          <w:szCs w:val="22"/>
        </w:rPr>
      </w:pP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2"/>
        <w:gridCol w:w="3344"/>
        <w:gridCol w:w="6"/>
      </w:tblGrid>
      <w:tr w:rsidR="002616B8" w:rsidRPr="002616B8" w14:paraId="5F92E0E7" w14:textId="77777777" w:rsidTr="00F766D3">
        <w:trPr>
          <w:trHeight w:hRule="exact" w:val="80"/>
        </w:trPr>
        <w:tc>
          <w:tcPr>
            <w:tcW w:w="5172" w:type="dxa"/>
          </w:tcPr>
          <w:p w14:paraId="5F92E0E5" w14:textId="77777777"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0" w:type="dxa"/>
            <w:gridSpan w:val="2"/>
          </w:tcPr>
          <w:p w14:paraId="5F92E0E6" w14:textId="77777777"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75E" w14:paraId="5F92E0E9" w14:textId="77777777" w:rsidTr="00F7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007"/>
        </w:trPr>
        <w:tc>
          <w:tcPr>
            <w:tcW w:w="8516" w:type="dxa"/>
            <w:gridSpan w:val="2"/>
            <w:vAlign w:val="center"/>
          </w:tcPr>
          <w:p w14:paraId="5F92E0E8" w14:textId="0CC8E87E" w:rsidR="00DA475E" w:rsidRPr="00DA475E" w:rsidRDefault="003D5B12" w:rsidP="00F766D3">
            <w:pPr>
              <w:pStyle w:val="BodyText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3D5B12">
              <w:rPr>
                <w:rFonts w:ascii="Arial" w:hAnsi="Arial"/>
                <w:sz w:val="22"/>
                <w:szCs w:val="22"/>
              </w:rPr>
              <w:t>No job profile can cover every issue, which may arise within the post at various times and the jobholder is expected to carry out other duties requested from time to time.</w:t>
            </w:r>
          </w:p>
        </w:tc>
      </w:tr>
    </w:tbl>
    <w:p w14:paraId="5F92E0EA" w14:textId="77777777" w:rsidR="00DA475E" w:rsidRDefault="00DA475E" w:rsidP="00FD71CB">
      <w:pPr>
        <w:pStyle w:val="BodyText"/>
        <w:spacing w:line="360" w:lineRule="auto"/>
        <w:jc w:val="left"/>
        <w:rPr>
          <w:rFonts w:ascii="Arial" w:hAnsi="Arial"/>
          <w:sz w:val="20"/>
        </w:rPr>
      </w:pPr>
    </w:p>
    <w:p w14:paraId="5F92E0EB" w14:textId="77777777" w:rsidR="00C929AD" w:rsidRDefault="00C929AD" w:rsidP="00C929AD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F92E0EC" w14:textId="77777777"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</w:p>
    <w:p w14:paraId="5F92E0ED" w14:textId="77777777"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E0F1" wp14:editId="5F92E0F2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9525" t="12065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E0F7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8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by Post Holder: …………………………………………………………………..</w:t>
                            </w:r>
                          </w:p>
                          <w:p w14:paraId="5F92E0F9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A" w14:textId="5F44F713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Print </w:t>
                            </w:r>
                            <w:r w:rsidR="00384B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………….…………………………………………………………………..</w:t>
                            </w:r>
                          </w:p>
                          <w:p w14:paraId="5F92E0FB" w14:textId="77777777"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92E0FC" w14:textId="77777777" w:rsidR="00FD71CB" w:rsidRPr="007B18D9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2E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4.7pt;width:433.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">
                <v:textbox>
                  <w:txbxContent>
                    <w:p w14:paraId="5F92E0F7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8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by Post Holder: …………………………………………………………………..</w:t>
                      </w:r>
                    </w:p>
                    <w:p w14:paraId="5F92E0F9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A" w14:textId="5F44F713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Print </w:t>
                      </w:r>
                      <w:r w:rsidR="00384B7B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………….…………………………………………………………………..</w:t>
                      </w:r>
                    </w:p>
                    <w:p w14:paraId="5F92E0FB" w14:textId="77777777"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92E0FC" w14:textId="77777777" w:rsidR="00FD71CB" w:rsidRPr="007B18D9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F92E0EE" w14:textId="77777777" w:rsidR="00356041" w:rsidRDefault="00356041" w:rsidP="00DA475E">
      <w:pPr>
        <w:pStyle w:val="BodyText"/>
        <w:jc w:val="left"/>
        <w:rPr>
          <w:rFonts w:ascii="Arial" w:hAnsi="Arial"/>
          <w:sz w:val="20"/>
        </w:rPr>
      </w:pPr>
    </w:p>
    <w:sectPr w:rsidR="00356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E0F5" w14:textId="77777777" w:rsidR="00D4250A" w:rsidRDefault="00D4250A" w:rsidP="00D4250A">
      <w:r>
        <w:separator/>
      </w:r>
    </w:p>
  </w:endnote>
  <w:endnote w:type="continuationSeparator" w:id="0">
    <w:p w14:paraId="5F92E0F6" w14:textId="77777777" w:rsidR="00D4250A" w:rsidRDefault="00D4250A" w:rsidP="00D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E0F3" w14:textId="77777777" w:rsidR="00D4250A" w:rsidRDefault="00D4250A" w:rsidP="00D4250A">
      <w:r>
        <w:separator/>
      </w:r>
    </w:p>
  </w:footnote>
  <w:footnote w:type="continuationSeparator" w:id="0">
    <w:p w14:paraId="5F92E0F4" w14:textId="77777777" w:rsidR="00D4250A" w:rsidRDefault="00D4250A" w:rsidP="00D4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6D6A"/>
    <w:multiLevelType w:val="hybridMultilevel"/>
    <w:tmpl w:val="8E6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841"/>
    <w:multiLevelType w:val="hybridMultilevel"/>
    <w:tmpl w:val="FD46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32206">
    <w:abstractNumId w:val="0"/>
  </w:num>
  <w:num w:numId="2" w16cid:durableId="82524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B8"/>
    <w:rsid w:val="00003083"/>
    <w:rsid w:val="00060A30"/>
    <w:rsid w:val="00076E91"/>
    <w:rsid w:val="00087B5A"/>
    <w:rsid w:val="000B1E94"/>
    <w:rsid w:val="000F27A3"/>
    <w:rsid w:val="0015658D"/>
    <w:rsid w:val="00190D71"/>
    <w:rsid w:val="00193898"/>
    <w:rsid w:val="00193D34"/>
    <w:rsid w:val="00193D94"/>
    <w:rsid w:val="001B0DE0"/>
    <w:rsid w:val="001D6BB8"/>
    <w:rsid w:val="001F7428"/>
    <w:rsid w:val="00201F78"/>
    <w:rsid w:val="0026153F"/>
    <w:rsid w:val="002616B8"/>
    <w:rsid w:val="002A5BB5"/>
    <w:rsid w:val="002C32D7"/>
    <w:rsid w:val="002F6FAF"/>
    <w:rsid w:val="00343D52"/>
    <w:rsid w:val="00356041"/>
    <w:rsid w:val="00365900"/>
    <w:rsid w:val="00384B7B"/>
    <w:rsid w:val="003A7AC7"/>
    <w:rsid w:val="003B6A32"/>
    <w:rsid w:val="003D5B12"/>
    <w:rsid w:val="003E538C"/>
    <w:rsid w:val="003F0A4C"/>
    <w:rsid w:val="00410F93"/>
    <w:rsid w:val="004120C8"/>
    <w:rsid w:val="00421432"/>
    <w:rsid w:val="00456B42"/>
    <w:rsid w:val="00457E6F"/>
    <w:rsid w:val="00480B93"/>
    <w:rsid w:val="00491531"/>
    <w:rsid w:val="004B7D2A"/>
    <w:rsid w:val="004D1CD5"/>
    <w:rsid w:val="004E26A0"/>
    <w:rsid w:val="004E4CCE"/>
    <w:rsid w:val="004F4CD1"/>
    <w:rsid w:val="00557703"/>
    <w:rsid w:val="005D5A84"/>
    <w:rsid w:val="005D796E"/>
    <w:rsid w:val="005E1B44"/>
    <w:rsid w:val="005E737D"/>
    <w:rsid w:val="00622DD1"/>
    <w:rsid w:val="00627B97"/>
    <w:rsid w:val="00667F22"/>
    <w:rsid w:val="006711C9"/>
    <w:rsid w:val="00674A14"/>
    <w:rsid w:val="00682BEB"/>
    <w:rsid w:val="00693086"/>
    <w:rsid w:val="006D4E65"/>
    <w:rsid w:val="006E14EC"/>
    <w:rsid w:val="006E2E31"/>
    <w:rsid w:val="006F44C1"/>
    <w:rsid w:val="00701724"/>
    <w:rsid w:val="00703E96"/>
    <w:rsid w:val="007202F8"/>
    <w:rsid w:val="00755C48"/>
    <w:rsid w:val="00767D16"/>
    <w:rsid w:val="00774B14"/>
    <w:rsid w:val="007B0DB3"/>
    <w:rsid w:val="007B192C"/>
    <w:rsid w:val="007B6934"/>
    <w:rsid w:val="007C6BF1"/>
    <w:rsid w:val="007D4062"/>
    <w:rsid w:val="007E1A1E"/>
    <w:rsid w:val="0087417E"/>
    <w:rsid w:val="00875548"/>
    <w:rsid w:val="008907CF"/>
    <w:rsid w:val="00895E16"/>
    <w:rsid w:val="008B3925"/>
    <w:rsid w:val="008C10F9"/>
    <w:rsid w:val="008D4ACF"/>
    <w:rsid w:val="00903B1C"/>
    <w:rsid w:val="00922143"/>
    <w:rsid w:val="009579B8"/>
    <w:rsid w:val="009614E0"/>
    <w:rsid w:val="00964BC9"/>
    <w:rsid w:val="0096562F"/>
    <w:rsid w:val="0097335B"/>
    <w:rsid w:val="00980885"/>
    <w:rsid w:val="009C7E4D"/>
    <w:rsid w:val="00A13CD4"/>
    <w:rsid w:val="00A44E43"/>
    <w:rsid w:val="00A74C21"/>
    <w:rsid w:val="00AA5027"/>
    <w:rsid w:val="00AA751F"/>
    <w:rsid w:val="00AC5AC7"/>
    <w:rsid w:val="00AE006E"/>
    <w:rsid w:val="00AE2B46"/>
    <w:rsid w:val="00B00E0F"/>
    <w:rsid w:val="00B14FD7"/>
    <w:rsid w:val="00B47125"/>
    <w:rsid w:val="00BA628C"/>
    <w:rsid w:val="00BC615D"/>
    <w:rsid w:val="00BD307E"/>
    <w:rsid w:val="00BF3C8E"/>
    <w:rsid w:val="00C22967"/>
    <w:rsid w:val="00C40725"/>
    <w:rsid w:val="00C43095"/>
    <w:rsid w:val="00C51993"/>
    <w:rsid w:val="00C60228"/>
    <w:rsid w:val="00C64021"/>
    <w:rsid w:val="00C65155"/>
    <w:rsid w:val="00C91B07"/>
    <w:rsid w:val="00C929AD"/>
    <w:rsid w:val="00CC2BA5"/>
    <w:rsid w:val="00CE2224"/>
    <w:rsid w:val="00CF0C4E"/>
    <w:rsid w:val="00D13D4B"/>
    <w:rsid w:val="00D36D05"/>
    <w:rsid w:val="00D4250A"/>
    <w:rsid w:val="00D557FB"/>
    <w:rsid w:val="00D846C6"/>
    <w:rsid w:val="00D91E8A"/>
    <w:rsid w:val="00D9265A"/>
    <w:rsid w:val="00DA0991"/>
    <w:rsid w:val="00DA475E"/>
    <w:rsid w:val="00DA4E49"/>
    <w:rsid w:val="00DB0D7B"/>
    <w:rsid w:val="00DB6D7D"/>
    <w:rsid w:val="00DE60B7"/>
    <w:rsid w:val="00DF3605"/>
    <w:rsid w:val="00E0772F"/>
    <w:rsid w:val="00E27DAF"/>
    <w:rsid w:val="00E31B40"/>
    <w:rsid w:val="00E60BAC"/>
    <w:rsid w:val="00E63168"/>
    <w:rsid w:val="00E712E0"/>
    <w:rsid w:val="00EA22D4"/>
    <w:rsid w:val="00EB64E0"/>
    <w:rsid w:val="00ED541D"/>
    <w:rsid w:val="00EE134A"/>
    <w:rsid w:val="00EE4EFE"/>
    <w:rsid w:val="00EF2915"/>
    <w:rsid w:val="00F37D79"/>
    <w:rsid w:val="00F766D3"/>
    <w:rsid w:val="00F769FC"/>
    <w:rsid w:val="00F77659"/>
    <w:rsid w:val="00F979EC"/>
    <w:rsid w:val="00FA1AF3"/>
    <w:rsid w:val="00FD1BB1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F92E09A"/>
  <w15:docId w15:val="{CAEB5585-C7AB-47E6-A857-CBB30D1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6B8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50A"/>
    <w:rPr>
      <w:sz w:val="24"/>
      <w:szCs w:val="24"/>
    </w:rPr>
  </w:style>
  <w:style w:type="paragraph" w:styleId="Footer">
    <w:name w:val="footer"/>
    <w:basedOn w:val="Normal"/>
    <w:link w:val="FooterChar"/>
    <w:rsid w:val="00D4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5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4FDDD4A2-2C3F-40D3-8398-0AEB6A78E2E0}"/>
</file>

<file path=customXml/itemProps2.xml><?xml version="1.0" encoding="utf-8"?>
<ds:datastoreItem xmlns:ds="http://schemas.openxmlformats.org/officeDocument/2006/customXml" ds:itemID="{A357D9DB-E5A1-4C9B-8161-3B9FE80A3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8D4AF-F466-4958-8DF1-C2E6D2B77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3A288-08B2-4180-917D-6B3380161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2013-11-05T08:49:00Z</cp:lastPrinted>
  <dcterms:created xsi:type="dcterms:W3CDTF">2023-08-24T08:23:00Z</dcterms:created>
  <dcterms:modified xsi:type="dcterms:W3CDTF">2023-08-24T08:23:00Z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GrammarlyDocumentId">
    <vt:lpwstr>c121031064a114906d7977cabde86e2b8d70033030d556a1582c008bee1a1686</vt:lpwstr>
  </property>
  <property fmtid="{D5CDD505-2E9C-101B-9397-08002B2CF9AE}" pid="5" name="MediaServiceImageTags">
    <vt:lpwstr/>
  </property>
</Properties>
</file>